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6B1B" w14:textId="77777777" w:rsidR="00F3742E" w:rsidRPr="006C76A4" w:rsidRDefault="00F3742E" w:rsidP="00FC3F6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</w:p>
    <w:p w14:paraId="51DCC651" w14:textId="10CD9A37" w:rsidR="00FC3F6D" w:rsidRDefault="00FC3F6D" w:rsidP="00FC3F6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  <w:r w:rsidRPr="006C76A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  <w:t>REFERENCES</w:t>
      </w:r>
    </w:p>
    <w:p w14:paraId="3AA1F7C3" w14:textId="72AACE20" w:rsidR="006C76A4" w:rsidRDefault="006C76A4" w:rsidP="00FC3F6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</w:p>
    <w:p w14:paraId="1DB29D1C" w14:textId="1EAF0886" w:rsidR="006C76A4" w:rsidRPr="006C76A4" w:rsidRDefault="006C76A4" w:rsidP="00FC3F6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  <w:t>Medical consensus papers</w:t>
      </w:r>
    </w:p>
    <w:p w14:paraId="22645665" w14:textId="7E5333B5" w:rsidR="006C76A4" w:rsidRPr="006C76A4" w:rsidRDefault="006C76A4" w:rsidP="00FC3F6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n-GB"/>
        </w:rPr>
      </w:pPr>
    </w:p>
    <w:p w14:paraId="256F0990" w14:textId="2FCE9FBF" w:rsid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cstheme="minorHAnsi"/>
          <w:color w:val="222222"/>
          <w:sz w:val="20"/>
          <w:szCs w:val="20"/>
        </w:rPr>
        <w:t xml:space="preserve">Garden, O.A., Kidd, L.,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Mexas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A.M., Chang, Y.M., Jeffery, U., Blois, S.L., Fogle, J.E., MacNeill, A.L.,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Lubas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G.,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Birkenheuer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A. and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Buoncompagni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S., 2019. ACVIM consensus statement on the diagnosis of immune‐mediated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hemolytic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anemia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 in dogs and cats. </w:t>
      </w:r>
      <w:r w:rsidRPr="006C76A4">
        <w:rPr>
          <w:rFonts w:cstheme="minorHAnsi"/>
          <w:i/>
          <w:iCs/>
          <w:color w:val="222222"/>
          <w:sz w:val="20"/>
          <w:szCs w:val="20"/>
        </w:rPr>
        <w:t>Journal of veterinary internal medicine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33</w:t>
      </w:r>
      <w:r w:rsidRPr="006C76A4">
        <w:rPr>
          <w:rFonts w:cstheme="minorHAnsi"/>
          <w:color w:val="222222"/>
          <w:sz w:val="20"/>
          <w:szCs w:val="20"/>
        </w:rPr>
        <w:t>(2), pp.313-334</w:t>
      </w:r>
      <w:r w:rsidRPr="006C76A4">
        <w:rPr>
          <w:rFonts w:eastAsia="Times New Roman" w:cstheme="minorHAnsi"/>
          <w:color w:val="212121"/>
          <w:sz w:val="20"/>
          <w:szCs w:val="20"/>
          <w:lang w:eastAsia="en-GB"/>
        </w:rPr>
        <w:t xml:space="preserve">. Link: </w:t>
      </w:r>
      <w:hyperlink r:id="rId4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https://pubmed.ncbi.nlm.nih.gov/30806491/</w:t>
        </w:r>
      </w:hyperlink>
    </w:p>
    <w:p w14:paraId="24D33256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81FD942" w14:textId="27FC0EF6" w:rsidR="00FC3F6D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cstheme="minorHAnsi"/>
          <w:color w:val="222222"/>
          <w:sz w:val="20"/>
          <w:szCs w:val="20"/>
        </w:rPr>
        <w:t xml:space="preserve">IRIS Canine GN Study Group Established Pathology Subgroup,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Segev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G., Cowgill, L.D.,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Heiene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R.,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Labato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M.A. and Polzin, D.J., 2013. Consensus recommendations for immunosuppressive treatment of dogs with glomerular disease based on established pathology. </w:t>
      </w:r>
      <w:r w:rsidRPr="006C76A4">
        <w:rPr>
          <w:rFonts w:cstheme="minorHAnsi"/>
          <w:i/>
          <w:iCs/>
          <w:color w:val="222222"/>
          <w:sz w:val="20"/>
          <w:szCs w:val="20"/>
        </w:rPr>
        <w:t>Journal of veterinary internal medicine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27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proofErr w:type="gramStart"/>
      <w:r w:rsidRPr="006C76A4">
        <w:rPr>
          <w:rFonts w:cstheme="minorHAnsi"/>
          <w:color w:val="222222"/>
          <w:sz w:val="20"/>
          <w:szCs w:val="20"/>
        </w:rPr>
        <w:t>pp.S</w:t>
      </w:r>
      <w:proofErr w:type="gramEnd"/>
      <w:r w:rsidRPr="006C76A4">
        <w:rPr>
          <w:rFonts w:cstheme="minorHAnsi"/>
          <w:color w:val="222222"/>
          <w:sz w:val="20"/>
          <w:szCs w:val="20"/>
        </w:rPr>
        <w:t>44-S54.</w:t>
      </w:r>
      <w:r w:rsidRPr="006C76A4">
        <w:rPr>
          <w:rFonts w:cstheme="minorHAnsi"/>
          <w:color w:val="222222"/>
          <w:sz w:val="20"/>
          <w:szCs w:val="20"/>
        </w:rPr>
        <w:t xml:space="preserve"> </w:t>
      </w:r>
      <w:r w:rsidRPr="006C76A4">
        <w:rPr>
          <w:rFonts w:eastAsia="Times New Roman" w:cstheme="minorHAnsi"/>
          <w:color w:val="000000"/>
          <w:sz w:val="20"/>
          <w:szCs w:val="20"/>
          <w:lang w:eastAsia="en-GB"/>
        </w:rPr>
        <w:t>L</w:t>
      </w:r>
      <w:r w:rsidR="00FC3F6D" w:rsidRPr="006C76A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ink: </w:t>
      </w:r>
      <w:hyperlink r:id="rId5" w:history="1">
        <w:r w:rsidR="00FC3F6D" w:rsidRPr="006C76A4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https://pubmed.ncbi.nlm.nih.gov/24635379/</w:t>
        </w:r>
      </w:hyperlink>
    </w:p>
    <w:p w14:paraId="0BD6BAC7" w14:textId="77777777" w:rsidR="006C76A4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8DE7105" w14:textId="532C0AC1" w:rsidR="00FC3F6D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cstheme="minorHAnsi"/>
          <w:color w:val="222222"/>
          <w:sz w:val="20"/>
          <w:szCs w:val="20"/>
        </w:rPr>
        <w:t xml:space="preserve">IRIS Canine GN Study Subgroup on Immunosuppressive Therapy Absent a Pathologic Diagnosis, Pressler, B., Vaden, S., Gerber, B., Langston, C. and Polzin, D., 2013. Consensus guidelines for immunosuppressive treatment of dogs with glomerular disease absent a pathologic diagnosis. </w:t>
      </w:r>
      <w:r w:rsidRPr="006C76A4">
        <w:rPr>
          <w:rFonts w:cstheme="minorHAnsi"/>
          <w:i/>
          <w:iCs/>
          <w:color w:val="222222"/>
          <w:sz w:val="20"/>
          <w:szCs w:val="20"/>
        </w:rPr>
        <w:t>Journal of veterinary internal medicine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27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proofErr w:type="gramStart"/>
      <w:r w:rsidRPr="006C76A4">
        <w:rPr>
          <w:rFonts w:cstheme="minorHAnsi"/>
          <w:color w:val="222222"/>
          <w:sz w:val="20"/>
          <w:szCs w:val="20"/>
        </w:rPr>
        <w:t>pp.S</w:t>
      </w:r>
      <w:proofErr w:type="gramEnd"/>
      <w:r w:rsidRPr="006C76A4">
        <w:rPr>
          <w:rFonts w:cstheme="minorHAnsi"/>
          <w:color w:val="222222"/>
          <w:sz w:val="20"/>
          <w:szCs w:val="20"/>
        </w:rPr>
        <w:t>55-S59.</w:t>
      </w:r>
      <w:r w:rsidR="00FC3F6D" w:rsidRPr="006C76A4">
        <w:rPr>
          <w:rFonts w:eastAsia="Times New Roman" w:cstheme="minorHAnsi"/>
          <w:color w:val="000000"/>
          <w:sz w:val="20"/>
          <w:szCs w:val="20"/>
          <w:lang w:eastAsia="en-GB"/>
        </w:rPr>
        <w:t>. Link:</w:t>
      </w:r>
      <w:r w:rsidRPr="006C76A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hyperlink r:id="rId6" w:history="1">
        <w:r w:rsidRPr="006C76A4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https://pubmed.ncbi.nlm.nih.gov/24635381/</w:t>
        </w:r>
      </w:hyperlink>
    </w:p>
    <w:p w14:paraId="75BAF6B6" w14:textId="77777777" w:rsidR="006C76A4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7DC9348" w14:textId="2097A346" w:rsidR="00FC3F6D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cstheme="minorHAnsi"/>
          <w:color w:val="222222"/>
          <w:sz w:val="20"/>
          <w:szCs w:val="20"/>
        </w:rPr>
        <w:t xml:space="preserve">Swann, J.W., Garden, O.A.,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Fellman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C.L.,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Glanemann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B.,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Goggs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R.,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LeVine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D.N.,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Mackin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A.J. and Whitley, N.T., 2019. ACVIM consensus statement on the treatment of immune‐mediated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hemolytic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anemia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 in dogs. </w:t>
      </w:r>
      <w:r w:rsidRPr="006C76A4">
        <w:rPr>
          <w:rFonts w:cstheme="minorHAnsi"/>
          <w:i/>
          <w:iCs/>
          <w:color w:val="222222"/>
          <w:sz w:val="20"/>
          <w:szCs w:val="20"/>
        </w:rPr>
        <w:t>Journal of veterinary internal medicine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33</w:t>
      </w:r>
      <w:r w:rsidRPr="006C76A4">
        <w:rPr>
          <w:rFonts w:cstheme="minorHAnsi"/>
          <w:color w:val="222222"/>
          <w:sz w:val="20"/>
          <w:szCs w:val="20"/>
        </w:rPr>
        <w:t>(3), pp.1141-1172.</w:t>
      </w:r>
      <w:r w:rsidR="00FC3F6D" w:rsidRPr="006C76A4">
        <w:rPr>
          <w:rFonts w:eastAsia="Times New Roman" w:cstheme="minorHAnsi"/>
          <w:color w:val="212121"/>
          <w:sz w:val="20"/>
          <w:szCs w:val="20"/>
          <w:lang w:eastAsia="en-GB"/>
        </w:rPr>
        <w:t xml:space="preserve"> Link: </w:t>
      </w:r>
      <w:hyperlink r:id="rId7" w:history="1">
        <w:r w:rsidR="00FC3F6D" w:rsidRPr="006C76A4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https://pubmed.ncbi.nlm.nih.gov/30847984/</w:t>
        </w:r>
      </w:hyperlink>
    </w:p>
    <w:p w14:paraId="745F7158" w14:textId="77777777" w:rsidR="006C76A4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40B163C" w14:textId="3BE6C9DB" w:rsidR="00FC3F6D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cstheme="minorHAnsi"/>
          <w:color w:val="222222"/>
          <w:sz w:val="20"/>
          <w:szCs w:val="20"/>
        </w:rPr>
        <w:t xml:space="preserve">Webster, C.R.,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Center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S.A., Cullen, J.M.,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Penninck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D.G., Richter, K.P.,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Twedt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D.C. and Watson, P.J., 2019. ACVIM consensus statement on the diagnosis and treatment of chronic hepatitis in dogs. </w:t>
      </w:r>
      <w:r w:rsidRPr="006C76A4">
        <w:rPr>
          <w:rFonts w:cstheme="minorHAnsi"/>
          <w:i/>
          <w:iCs/>
          <w:color w:val="222222"/>
          <w:sz w:val="20"/>
          <w:szCs w:val="20"/>
        </w:rPr>
        <w:t>Journal of veterinary internal medicine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33</w:t>
      </w:r>
      <w:r w:rsidRPr="006C76A4">
        <w:rPr>
          <w:rFonts w:cstheme="minorHAnsi"/>
          <w:color w:val="222222"/>
          <w:sz w:val="20"/>
          <w:szCs w:val="20"/>
        </w:rPr>
        <w:t>(3), pp.1173-1200</w:t>
      </w:r>
      <w:r w:rsidR="00FC3F6D" w:rsidRPr="006C76A4">
        <w:rPr>
          <w:rFonts w:eastAsia="Times New Roman" w:cstheme="minorHAnsi"/>
          <w:color w:val="1C1D1E"/>
          <w:sz w:val="20"/>
          <w:szCs w:val="20"/>
          <w:lang w:eastAsia="en-GB"/>
        </w:rPr>
        <w:t xml:space="preserve">. Link: </w:t>
      </w:r>
      <w:hyperlink r:id="rId8" w:history="1">
        <w:r w:rsidR="00FC3F6D" w:rsidRPr="006C76A4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https://onlinelibrary.wiley.com/doi/10.1111/jvim.15467</w:t>
        </w:r>
      </w:hyperlink>
    </w:p>
    <w:p w14:paraId="1FDAB3D9" w14:textId="243244C8" w:rsid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78561EE" w14:textId="753D0889" w:rsidR="006C76A4" w:rsidRPr="006C76A4" w:rsidRDefault="006C76A4" w:rsidP="00FC3F6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</w:pPr>
      <w:r w:rsidRPr="006C76A4"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  <w:t xml:space="preserve">Review on immunosuppressives </w:t>
      </w:r>
    </w:p>
    <w:p w14:paraId="7860D6E8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14487B7F" w14:textId="6F4CE93B" w:rsidR="00FC3F6D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C76A4">
        <w:rPr>
          <w:rFonts w:cstheme="minorHAnsi"/>
          <w:color w:val="222222"/>
          <w:sz w:val="20"/>
          <w:szCs w:val="20"/>
        </w:rPr>
        <w:t>Viviano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, K.R., 2013. Update on </w:t>
      </w:r>
      <w:proofErr w:type="spellStart"/>
      <w:r w:rsidRPr="006C76A4">
        <w:rPr>
          <w:rFonts w:cstheme="minorHAnsi"/>
          <w:color w:val="222222"/>
          <w:sz w:val="20"/>
          <w:szCs w:val="20"/>
        </w:rPr>
        <w:t>immununosuppressive</w:t>
      </w:r>
      <w:proofErr w:type="spellEnd"/>
      <w:r w:rsidRPr="006C76A4">
        <w:rPr>
          <w:rFonts w:cstheme="minorHAnsi"/>
          <w:color w:val="222222"/>
          <w:sz w:val="20"/>
          <w:szCs w:val="20"/>
        </w:rPr>
        <w:t xml:space="preserve"> therapies for dogs and cats. </w:t>
      </w:r>
      <w:r w:rsidRPr="006C76A4">
        <w:rPr>
          <w:rFonts w:cstheme="minorHAnsi"/>
          <w:i/>
          <w:iCs/>
          <w:color w:val="222222"/>
          <w:sz w:val="20"/>
          <w:szCs w:val="20"/>
        </w:rPr>
        <w:t>Veterinary Clinics: Small Animal Practice</w:t>
      </w:r>
      <w:r w:rsidRPr="006C76A4">
        <w:rPr>
          <w:rFonts w:cstheme="minorHAnsi"/>
          <w:color w:val="222222"/>
          <w:sz w:val="20"/>
          <w:szCs w:val="20"/>
        </w:rPr>
        <w:t xml:space="preserve">, </w:t>
      </w:r>
      <w:r w:rsidRPr="006C76A4">
        <w:rPr>
          <w:rFonts w:cstheme="minorHAnsi"/>
          <w:i/>
          <w:iCs/>
          <w:color w:val="222222"/>
          <w:sz w:val="20"/>
          <w:szCs w:val="20"/>
        </w:rPr>
        <w:t>43</w:t>
      </w:r>
      <w:r w:rsidRPr="006C76A4">
        <w:rPr>
          <w:rFonts w:cstheme="minorHAnsi"/>
          <w:color w:val="222222"/>
          <w:sz w:val="20"/>
          <w:szCs w:val="20"/>
        </w:rPr>
        <w:t>(5), pp.1149-</w:t>
      </w:r>
      <w:proofErr w:type="gramStart"/>
      <w:r w:rsidRPr="006C76A4">
        <w:rPr>
          <w:rFonts w:cstheme="minorHAnsi"/>
          <w:color w:val="222222"/>
          <w:sz w:val="20"/>
          <w:szCs w:val="20"/>
        </w:rPr>
        <w:t>1170.</w:t>
      </w:r>
      <w:r w:rsidR="00FC3F6D" w:rsidRPr="006C76A4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  <w:proofErr w:type="gramEnd"/>
      <w:r w:rsidR="00FC3F6D" w:rsidRPr="006C76A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hyperlink r:id="rId9" w:history="1">
        <w:r w:rsidR="00FC3F6D" w:rsidRPr="006C76A4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https://www.vetsmall.theclinics.com/article/S0195-5616(13)00114-9/pdf</w:t>
        </w:r>
      </w:hyperlink>
    </w:p>
    <w:p w14:paraId="2C1A16B2" w14:textId="417D6CE6" w:rsidR="00FC3F6D" w:rsidRPr="006C76A4" w:rsidRDefault="00FC3F6D" w:rsidP="00FC3F6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</w:pPr>
    </w:p>
    <w:p w14:paraId="03C79A96" w14:textId="1DAAA88D" w:rsidR="006C76A4" w:rsidRPr="006C76A4" w:rsidRDefault="006C76A4" w:rsidP="00FC3F6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</w:pPr>
      <w:r w:rsidRPr="006C76A4"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  <w:t xml:space="preserve">Dermatology references </w:t>
      </w:r>
    </w:p>
    <w:p w14:paraId="4F3B0601" w14:textId="77777777" w:rsidR="006C76A4" w:rsidRPr="006C76A4" w:rsidRDefault="006C76A4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D003A0B" w14:textId="5CBF7AD5" w:rsidR="006C76A4" w:rsidRDefault="006C76A4" w:rsidP="006C76A4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Ackermann, A.L., May, E.R. and Frank, L.A., 2017. Use of mycophenolate mofetil to treat immune‐mediated skin disease in 14 dogs–a retrospective evaluation.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28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(2), pp.195-e44. </w:t>
      </w:r>
      <w:hyperlink r:id="rId10" w:history="1">
        <w:r w:rsidRPr="006C76A4">
          <w:rPr>
            <w:rFonts w:eastAsia="Times New Roman" w:cstheme="minorHAnsi"/>
            <w:color w:val="005274"/>
            <w:sz w:val="20"/>
            <w:szCs w:val="20"/>
            <w:u w:val="single"/>
            <w:shd w:val="clear" w:color="auto" w:fill="FFFFFF"/>
            <w:lang w:eastAsia="en-GB"/>
          </w:rPr>
          <w:t>https://doi.org/10.1111/vde.12400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38D8181E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6217DB0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Bizikova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P.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Olivry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T., 2015. Oral glucocorticoid pulse therapy for induction of treatment of canine pemphigus foliaceus–a comparative study.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lang w:eastAsia="en-GB"/>
        </w:rPr>
        <w:t>26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(5), pp.354-e77. </w:t>
      </w:r>
    </w:p>
    <w:p w14:paraId="3DDFA912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1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https://www.researchgate.net/profile/Thierry-Olivry/publication/280869719_Oral_glucocorticoid_pulse_therapy_for_induction_of_treatment_of_canine_pemphigus_foliaceus_-_a_comparative_study/links/56bf35bf08ae2f498ef7e5f2/Oral-glucocorticoid-pulse-therapy-for-induction-of-treatment-of-canine-pemphigus-foliaceus-a-comparative-study.pdf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4865F31A" w14:textId="77777777" w:rsidR="00FC3F6D" w:rsidRPr="006C76A4" w:rsidRDefault="00FC3F6D" w:rsidP="00FC3F6D">
      <w:pPr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E4EB4A4" w14:textId="7C74B671" w:rsidR="006C76A4" w:rsidRDefault="006C76A4" w:rsidP="006C76A4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Banovic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F.,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Tarigo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J., Gordon, H., Barber, J.P.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Gogal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 Jr, R.M., 2019. Immunomodulatory in vitro effects of oclacitinib on canine T‐cell proliferation and cytokine production.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30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(1), pp.17-e6. </w:t>
      </w:r>
      <w:hyperlink r:id="rId12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https://onlinelibrary.wiley.com/doi/abs/10.1111/vde.12698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2487F61A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6C11BED" w14:textId="29591EB4" w:rsidR="006C76A4" w:rsidRDefault="006C76A4" w:rsidP="006C76A4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Byrne, K. and Morris, D.O., 2001. Study to determine the usefulness of Mycophenolate mofetil (MMF) for the treatment of pemphigus foliaceus in the dog.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American Academy of Veterinary Dermatology Proceedings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. </w:t>
      </w:r>
    </w:p>
    <w:p w14:paraId="5AFB9D6E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84CF97F" w14:textId="77777777" w:rsidR="006C76A4" w:rsidRPr="006C76A4" w:rsidRDefault="006C76A4" w:rsidP="006C76A4">
      <w:pPr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C0C4AC4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lastRenderedPageBreak/>
        <w:t>Didona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D.,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Maglie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R.,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Eming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R.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Hertl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M., 2019. Pemphigus: current and future therapeutic strategies.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Frontiers in immunology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10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p.1418. </w:t>
      </w:r>
      <w:hyperlink r:id="rId13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https://www.frontiersin.org/articles/10.3389/fimmu.2019.01418/full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176BFCFD" w14:textId="77777777" w:rsidR="006C76A4" w:rsidRDefault="006C76A4" w:rsidP="00FC3F6D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</w:p>
    <w:p w14:paraId="395DB5C9" w14:textId="5B13C180" w:rsidR="006C76A4" w:rsidRDefault="006C76A4" w:rsidP="006C76A4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Ferrigno, A., Hoover, K.,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Blubaugh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A.,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Rissi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D.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Banovic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F., 2019. Treatment of exfoliative cutaneous lupus erythematosus in a German shorthaired pointer dog with mycophenolate mofetil.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30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(4), pp.350-e102. </w:t>
      </w:r>
    </w:p>
    <w:p w14:paraId="1FF33168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F8CEF29" w14:textId="6E9CFB92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Gray, L.L., Hillier, A., Cole, L.K. and Rajala‐Schultz, P.J., 2013. The effect of ketoconazole on whole blood and skin ciclosporin concentrations in dogs.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24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(1), pp.118-e28.</w:t>
      </w:r>
      <w:r w:rsidR="006C76A4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4" w:history="1">
        <w:r w:rsidR="006C76A4" w:rsidRPr="00527670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GB"/>
          </w:rPr>
          <w:t>https://www.researchgate.net/profile/Thierry-Olivry/publication/280869719_Oral_glucocorticoid_pulse_therapy_for_induction_of_treatment_of_canine_pemphigus_foliaceus_-_a_comparative_study/links/56bf35bf08ae2f498ef7e5f2/Oral-glucocorticoid-pulse-therapy-for-induction-of-treatment-of-canine-pemphigus-foliaceus-a-comparative-study.pdf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4CBFBF60" w14:textId="77777777" w:rsidR="00FC3F6D" w:rsidRPr="006C76A4" w:rsidRDefault="00FC3F6D" w:rsidP="00FC3F6D">
      <w:pPr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E1A316E" w14:textId="4DE74C29" w:rsidR="006C76A4" w:rsidRDefault="006C76A4" w:rsidP="006C76A4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</w:pP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Jasiecka-Mikołajczyk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A.,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Jaroszewski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J.J.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Maślanka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T., 2018. Oclacitinib depletes canine CD4+ and CD8+ T cells in vitro.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Research in veterinary science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121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pp.124-129. </w:t>
      </w:r>
      <w:hyperlink r:id="rId15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https://www.sciencedirect.com/science/article/pii/S0034528818313250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3D619CD5" w14:textId="77777777" w:rsidR="006C76A4" w:rsidRPr="006C76A4" w:rsidRDefault="006C76A4" w:rsidP="006C76A4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31DAAA7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Kidd, L.B.,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Salavaggione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O.E.,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Szumlanski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C.L., Miller, J.L.,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Weinshilboum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R.M. and Trepanier, L., 2004. Thiopurine methyltransferase activity in red blood cells of dogs.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Journal of veterinary internal medicine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18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(2), pp.214-218. </w:t>
      </w:r>
      <w:hyperlink r:id="rId16" w:history="1">
        <w:r w:rsidRPr="006C76A4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https://onlinelibrary.wiley.com/doi/pdf/10.1111/j.1939-1676.2004.tb00163.x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</w:t>
      </w:r>
    </w:p>
    <w:p w14:paraId="5428AE45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7DCF44B" w14:textId="77777777" w:rsidR="00FC3F6D" w:rsidRPr="006C76A4" w:rsidRDefault="00FC3F6D" w:rsidP="00FC3F6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Oberkirchner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U., Linder, K.E.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Olivry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T., 2012. Successful treatment of a novel generalized variant of canine discoid lupus erythematosus with oral hydroxychloroquine.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23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(1), pp.65-e16. </w:t>
      </w:r>
      <w:hyperlink r:id="rId17" w:history="1">
        <w:r w:rsidRPr="006C76A4">
          <w:rPr>
            <w:rFonts w:eastAsia="Times New Roman" w:cstheme="minorHAnsi"/>
            <w:color w:val="005274"/>
            <w:sz w:val="20"/>
            <w:szCs w:val="20"/>
            <w:u w:val="single"/>
            <w:shd w:val="clear" w:color="auto" w:fill="FFFFFF"/>
            <w:lang w:eastAsia="en-GB"/>
          </w:rPr>
          <w:t>https://doi.org/10.1111/j.1365-3164.2011.00994.x</w:t>
        </w:r>
      </w:hyperlink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  </w:t>
      </w:r>
    </w:p>
    <w:p w14:paraId="7BE816BD" w14:textId="5294BADC" w:rsidR="00B50871" w:rsidRPr="006C76A4" w:rsidRDefault="00FC3F6D" w:rsidP="00FC3F6D">
      <w:pPr>
        <w:rPr>
          <w:rFonts w:cstheme="minorHAnsi"/>
          <w:sz w:val="20"/>
          <w:szCs w:val="20"/>
        </w:rPr>
      </w:pP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Mauldin, E.A., Morris, D.O., Brown, D.C. and </w:t>
      </w:r>
      <w:proofErr w:type="spellStart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Casal</w:t>
      </w:r>
      <w:proofErr w:type="spellEnd"/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M.L., 2010. Exfoliative cutaneous lupus erythematosus in German shorthaired pointer dogs: disease development, progression and evaluation of three immunomodulatory drugs (ciclosporin, hydroxychloroquine, and adalimumab) in a controlled environment.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Veterinary dermatology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, </w:t>
      </w:r>
      <w:r w:rsidRPr="006C76A4">
        <w:rPr>
          <w:rFonts w:eastAsia="Times New Roman" w:cstheme="minorHAnsi"/>
          <w:i/>
          <w:iCs/>
          <w:color w:val="222222"/>
          <w:sz w:val="20"/>
          <w:szCs w:val="20"/>
          <w:shd w:val="clear" w:color="auto" w:fill="FFFFFF"/>
          <w:lang w:eastAsia="en-GB"/>
        </w:rPr>
        <w:t>21</w:t>
      </w:r>
      <w:r w:rsidRPr="006C76A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 xml:space="preserve">(4), pp.373-382. </w:t>
      </w:r>
      <w:hyperlink r:id="rId18" w:history="1">
        <w:r w:rsidRPr="006C76A4">
          <w:rPr>
            <w:rFonts w:eastAsia="Times New Roman" w:cstheme="minorHAnsi"/>
            <w:color w:val="005274"/>
            <w:sz w:val="20"/>
            <w:szCs w:val="20"/>
            <w:u w:val="single"/>
            <w:shd w:val="clear" w:color="auto" w:fill="FFFFFF"/>
            <w:lang w:eastAsia="en-GB"/>
          </w:rPr>
          <w:t>https://doi.org/10.1111/j.1365-3164.2010.00867.x</w:t>
        </w:r>
      </w:hyperlink>
    </w:p>
    <w:sectPr w:rsidR="00B50871" w:rsidRPr="006C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D"/>
    <w:rsid w:val="006C76A4"/>
    <w:rsid w:val="00B50871"/>
    <w:rsid w:val="00F3742E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9034"/>
  <w15:chartTrackingRefBased/>
  <w15:docId w15:val="{94FDBC8F-329C-42DF-81A3-A534CE7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3F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10.1111/jvim.15467" TargetMode="External"/><Relationship Id="rId13" Type="http://schemas.openxmlformats.org/officeDocument/2006/relationships/hyperlink" Target="https://www.frontiersin.org/articles/10.3389/fimmu.2019.01418/full" TargetMode="External"/><Relationship Id="rId18" Type="http://schemas.openxmlformats.org/officeDocument/2006/relationships/hyperlink" Target="https://doi.org/10.1111/j.1365-3164.2010.00867.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0847984/" TargetMode="External"/><Relationship Id="rId12" Type="http://schemas.openxmlformats.org/officeDocument/2006/relationships/hyperlink" Target="https://onlinelibrary.wiley.com/doi/abs/10.1111/vde.12698" TargetMode="External"/><Relationship Id="rId17" Type="http://schemas.openxmlformats.org/officeDocument/2006/relationships/hyperlink" Target="https://doi.org/10.1111/j.1365-3164.2011.00994.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library.wiley.com/doi/pdf/10.1111/j.1939-1676.2004.tb00163.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4635381/" TargetMode="External"/><Relationship Id="rId11" Type="http://schemas.openxmlformats.org/officeDocument/2006/relationships/hyperlink" Target="https://www.researchgate.net/profile/Thierry-Olivry/publication/280869719_Oral_glucocorticoid_pulse_therapy_for_induction_of_treatment_of_canine_pemphigus_foliaceus_-_a_comparative_study/links/56bf35bf08ae2f498ef7e5f2/Oral-glucocorticoid-pulse-therapy-for-induction-of-treatment-of-canine-pemphigus-foliaceus-a-comparative-study.pdf" TargetMode="External"/><Relationship Id="rId5" Type="http://schemas.openxmlformats.org/officeDocument/2006/relationships/hyperlink" Target="https://pubmed.ncbi.nlm.nih.gov/24635379/" TargetMode="External"/><Relationship Id="rId15" Type="http://schemas.openxmlformats.org/officeDocument/2006/relationships/hyperlink" Target="https://www.sciencedirect.com/science/article/pii/S0034528818313250" TargetMode="External"/><Relationship Id="rId10" Type="http://schemas.openxmlformats.org/officeDocument/2006/relationships/hyperlink" Target="https://doi.org/10.1111/vde.124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ubmed.ncbi.nlm.nih.gov/30806491/" TargetMode="External"/><Relationship Id="rId9" Type="http://schemas.openxmlformats.org/officeDocument/2006/relationships/hyperlink" Target="https://www.vetsmall.theclinics.com/article/S0195-5616(13)00114-9/pdf" TargetMode="External"/><Relationship Id="rId14" Type="http://schemas.openxmlformats.org/officeDocument/2006/relationships/hyperlink" Target="https://www.researchgate.net/profile/Thierry-Olivry/publication/280869719_Oral_glucocorticoid_pulse_therapy_for_induction_of_treatment_of_canine_pemphigus_foliaceus_-_a_comparative_study/links/56bf35bf08ae2f498ef7e5f2/Oral-glucocorticoid-pulse-therapy-for-induction-of-treatment-of-canine-pemphigus-foliaceus-a-comparative-stu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Harries (Paragon Referrals)</dc:creator>
  <cp:keywords/>
  <dc:description/>
  <cp:lastModifiedBy>Sian Harries (Paragon Referrals)</cp:lastModifiedBy>
  <cp:revision>1</cp:revision>
  <dcterms:created xsi:type="dcterms:W3CDTF">2021-03-25T18:48:00Z</dcterms:created>
  <dcterms:modified xsi:type="dcterms:W3CDTF">2021-03-26T09:17:00Z</dcterms:modified>
</cp:coreProperties>
</file>